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6" w:rsidRPr="00001166" w:rsidRDefault="00001166" w:rsidP="00001166">
      <w:pPr>
        <w:shd w:val="clear" w:color="auto" w:fill="FAFAFA"/>
        <w:spacing w:after="0" w:line="0" w:lineRule="auto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8072"/>
      </w:tblGrid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1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1 -Zakres stosowania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2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2 -</w:t>
            </w:r>
            <w:proofErr w:type="spellStart"/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Disclosure</w:t>
            </w:r>
            <w:proofErr w:type="spellEnd"/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 xml:space="preserve"> Dokumenty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3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3 -Zwolnienia z publikacją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§4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4 -wykaz zamówień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5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5 -publikacja Method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6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 xml:space="preserve">§ 6 -publikacja </w:t>
            </w:r>
            <w:proofErr w:type="spellStart"/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Aftermath</w:t>
            </w:r>
            <w:proofErr w:type="spellEnd"/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§7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7 -Rozwiązanie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8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8 -Przepisy ogólne i przejściowe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§9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9 -Postanowienia końcowe</w:t>
            </w:r>
          </w:p>
        </w:tc>
      </w:tr>
      <w:tr w:rsidR="00001166" w:rsidRPr="00001166" w:rsidTr="00001166">
        <w:tc>
          <w:tcPr>
            <w:tcW w:w="551" w:type="pct"/>
            <w:tcBorders>
              <w:bottom w:val="dashed" w:sz="6" w:space="0" w:color="D0D3D4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10</w:t>
            </w:r>
          </w:p>
        </w:tc>
        <w:tc>
          <w:tcPr>
            <w:tcW w:w="4449" w:type="pct"/>
            <w:tcBorders>
              <w:bottom w:val="dashed" w:sz="6" w:space="0" w:color="D0D3D4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01166" w:rsidRPr="00001166" w:rsidRDefault="00001166" w:rsidP="00001166">
            <w:pPr>
              <w:spacing w:after="0" w:line="240" w:lineRule="auto"/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</w:pPr>
            <w:r w:rsidRPr="00001166">
              <w:rPr>
                <w:rFonts w:ascii="Arial CE" w:eastAsia="Times New Roman" w:hAnsi="Arial CE" w:cs="Arial CE"/>
                <w:sz w:val="25"/>
                <w:szCs w:val="25"/>
                <w:lang w:eastAsia="pl-PL"/>
              </w:rPr>
              <w:t>§ 10 -Skuteczność</w:t>
            </w:r>
          </w:p>
        </w:tc>
      </w:tr>
    </w:tbl>
    <w:p w:rsidR="00001166" w:rsidRPr="00001166" w:rsidRDefault="00001166" w:rsidP="00001166">
      <w:pPr>
        <w:shd w:val="clear" w:color="auto" w:fill="FAFAFA"/>
        <w:spacing w:before="75" w:after="450" w:line="240" w:lineRule="auto"/>
        <w:outlineLvl w:val="1"/>
        <w:rPr>
          <w:rFonts w:ascii="Arial CE" w:eastAsia="Times New Roman" w:hAnsi="Arial CE" w:cs="Arial CE"/>
          <w:b/>
          <w:bCs/>
          <w:color w:val="1E2D3C"/>
          <w:sz w:val="25"/>
          <w:szCs w:val="25"/>
          <w:lang w:eastAsia="pl-PL"/>
        </w:rPr>
      </w:pPr>
      <w:bookmarkStart w:id="0" w:name="local-content"/>
      <w:bookmarkEnd w:id="0"/>
      <w:r w:rsidRPr="00001166">
        <w:rPr>
          <w:rFonts w:ascii="Arial CE" w:eastAsia="Times New Roman" w:hAnsi="Arial CE" w:cs="Arial CE"/>
          <w:b/>
          <w:bCs/>
          <w:color w:val="1E2D3C"/>
          <w:sz w:val="25"/>
          <w:szCs w:val="25"/>
          <w:lang w:eastAsia="pl-PL"/>
        </w:rPr>
        <w:t>Tekst całego dokumentu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23"/>
          <w:szCs w:val="23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23"/>
          <w:szCs w:val="23"/>
          <w:lang w:eastAsia="pl-PL"/>
        </w:rPr>
        <w:t>340/2015 Sb.</w:t>
      </w:r>
    </w:p>
    <w:p w:rsidR="00001166" w:rsidRPr="00001166" w:rsidRDefault="00001166" w:rsidP="00001166">
      <w:pPr>
        <w:shd w:val="clear" w:color="auto" w:fill="FAFAFA"/>
        <w:spacing w:after="80"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23"/>
          <w:szCs w:val="23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23"/>
          <w:szCs w:val="23"/>
          <w:lang w:eastAsia="pl-PL"/>
        </w:rPr>
        <w:t>PRAWO</w:t>
      </w:r>
    </w:p>
    <w:p w:rsidR="00001166" w:rsidRPr="00001166" w:rsidRDefault="00001166" w:rsidP="00001166">
      <w:pPr>
        <w:shd w:val="clear" w:color="auto" w:fill="FAFAFA"/>
        <w:spacing w:after="80"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z dnia 24 listopada 2015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Skuteczność specyficznych warunków określonych umów, publikacji tych umów i porozumień rejestru (rejestr na prawo umów)</w:t>
      </w:r>
    </w:p>
    <w:p w:rsidR="00001166" w:rsidRPr="00001166" w:rsidRDefault="00001166" w:rsidP="00001166">
      <w:pPr>
        <w:shd w:val="clear" w:color="auto" w:fill="FAFAFA"/>
        <w:spacing w:after="0" w:line="240" w:lineRule="auto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 xml:space="preserve">Zmiana 298/2016 </w:t>
      </w:r>
      <w:proofErr w:type="spellStart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Coll</w:t>
      </w:r>
      <w:proofErr w:type="spellEnd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Parlament przeszedł tę ustawę Republiki Czeskiej: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1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Przedmiot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Ustawa ta reguluje specjalne warunki skuteczności niektórych umów, publikacja tych umów za pośrednictwem rejestru umów i kontraktów zarejestrować.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2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Publikacja dokumentów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poprzez rejestr umów z obowiązkowo publikuje prywatnej umowy, a umowę o dotacji lub zwrotnej pomocy finansowej, która jest stroną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Republika Czeska,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 xml:space="preserve">b) lokalny samorząd, w tym dzielnicy lub dzielnicy miasta terytorialnie podzielony ustawowego miasta lub dzielnicy </w:t>
      </w:r>
      <w:bookmarkStart w:id="1" w:name="_GoBack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Pragi,</w:t>
      </w:r>
    </w:p>
    <w:bookmarkEnd w:id="1"/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c) organizacja rządowa,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d) fundusz państwowy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e) instytucja badawcza uczelni publicznej lub publicznej.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f) Związek dobrowolne gminach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g) Rada Regionalna,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h) składkowy organizacja samorządu terytorialnego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i) organizacja ustanowiona przez państwo lub jednostki samorządu terytorialnego,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j) przedsiębiorstwo użyteczności publicznej ustanowione przez państwo lub jednostki samorządu terytorialnego,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k) przedsiębiorstwo państwowe lub spółki krajowe.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lastRenderedPageBreak/>
        <w:t>l) na ubezpieczenie zdrowotne,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m) Czech Radia i Telewizji Czeskiej, lub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n) podmiot prawny, w którym państwo lub jednostka samorządu terytorialnego samodzielnie lub z innymi organami lokalnymi posiada pakiet większościowy, w tym za pośrednictwem innych osób prawnych.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Ustęp 1 nie stosuje się do osoby prawnej utworzonej zgodnie z prawem czeskim innego niż to działa w dużej mierze poza granicami Republiki Czeskiej.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3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Zwolnienia z obowiązku publikacji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na podstawie umów rejestru nie zwalniając informacje, które nie mogą być dostarczone w trakcie postępowania na podstawie przepisów regulujących swobodny dostęp do informacji.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Obowiązek publikowania poprzez rejestr nie stosuje się do umów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umowa wynikające z negocjacji prawnych z osobą fizyczną działającą poza zakresem jego działalności gospodarczej; ten nie ma zastosowania, jeżeli przeniesienie prawa własności z osób wymienionych w § 2 ust. 1 do rzeczowego majątku nieruchomego,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b) szablon techniczne, instrukcje, rysunki, dokumentacja projektowa, model, sposób obliczenia ceny jednostkowe, model i obliczenia,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c) umowa, która obejmuje działania służb wywiadowczych i ogólnego Inspekcji Sił Bezpieczeństwa lub działań organów ścigania zapobiegania przestępczości, wyszukiwanie i wykrywanie przestępstw lub ścigania przestępstw lub zapewnienia bezpieczeństwa lub obrony Republiki Czeskiej,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d) umowa, której wykonanie odbywa się głównie poza granicami Republiki Czeskiej,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e) umowa zawarta w sposób wiążący, którego stroną jest podmiot, o którym mowa w § 2 ust. 1 pkt. e), K), L) i n), z wyjątkiem umów zawartych w procedurze przetargowej mocy Ustawy zamówienia,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f) umowy, zamówienia zakupu i faktury związane z działalnością instytucji i ich członków instytucji rządowych wymienionych w § 8 ust. 3 ustawy nr. 218/2000 Sb., o zasadach budżetowych oraz zmieniającego niektóre inne ustawy (zasady budżetu), a zarządzający ich rozdziałów,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 xml:space="preserve">g) umowa zawarta w </w:t>
      </w:r>
      <w:proofErr w:type="spellStart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Commodity</w:t>
      </w:r>
      <w:proofErr w:type="spellEnd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 xml:space="preserve"> Exchange, na rynku regulowanym lub rynku regulowanego europejskiej aukcji lub przetargu lub innego podobnego procesu, do którego podłączony jest specjalny sposób przejścia lub przeniesienia prawa własności,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h) umowa, której co najmniej jedna strona zamawiająca jest spółką, której papiery wartościowe są dopuszczone do obrotu na rynku regulowanym lub regulowanym rynku europejskim, jeżeli jest spółką akcyjną, w której jednostka rząd stanowy lub lokalny samodzielnie lub z innymi władzami lokalnymi pakiet większościowy, w tym za pośrednictwem innych podmiotów prawnych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i) umowy, jeżeli wartość przedmiotu wynosi 50 000 CZK bez VAT lub niższe,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j) umowa, która została zawarta z autora lub wykonawcy w stosunku do prac chronionych prawem autorskim lub artystycznego wykonania.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umowa o świadczenie i wypłaty świadczeń zdrowotnych objętych publicznym ubezpieczeniem zdrowotnym i zlecenia wypłaty produktów leczniczych zawierających szczepionek dla rutynowych szczepień przez antygenowej składu szczepionek dostarczanych przez Ministerstwo Zdrowia na podstawie ustawy o ochronie zdrowia publicznego, które są publikowane zgodnie z przepisami prawa o publicznym ubezpieczeniu zdrowotnym ,</w:t>
      </w:r>
    </w:p>
    <w:p w:rsidR="00001166" w:rsidRPr="00001166" w:rsidRDefault="00001166" w:rsidP="00001166">
      <w:pPr>
        <w:shd w:val="clear" w:color="auto" w:fill="FAFAFA"/>
        <w:spacing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l) umowa, której co najmniej jedna z Umawiających się Stron jest wieś, która nie przenosi rozszerzony zakres, organizacji powołanej przez gminę lub podmiot, który samodzielnie lub z innymi takich społeczności udziałem większość takich gmina.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§4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Lista umów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Rejestr umów jako systemu informacyjnego administracji publicznej, który jest używany do umów wydawniczych na mocy niniejszej ustawy.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Administrator rejestru umów, Ministerstwo Spraw Wewnętrznych.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(3) Lista zamówień jest dostępny bezpłatnie sposób umożliwiający zdalny dostęp.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(4) Umowy administrator rejestru nie ponosi odpowiedzialności za prawidłowość umów i traktatów metadanych publikowanych przez umowach rejestru.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5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publikacja metoda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Na mocy umowy poprzez opublikowanie umów rejestru oznacza włożenie elektronicznego obrazu treści tekstu umowy w otwartej i odczytu maszynowego formacie, a także metadane zgodnie z pkt 5 do umów rejestru.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Osoba, o której mowa w § 2 ust. 1 lub umawiających się stron wysyła umowy do umów administrator rejestru do publikacji przez umowach rejestru bez zbędnej zwłoki, nie później jednak niż w ciągu 30 dni od daty zawarcia umowy. Kontrakty administrator rejestru publikują umowę za pośrednictwem umów rejestru natychmiast po porodzie; kontrakt wydawniczy z umów rejestru są zazwyczaj wykonywane automatycznie.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lastRenderedPageBreak/>
        <w:t>(3) Wysyłanie zamówienia do administratora rejestru umów odbywa się na formie elektronicznej na polu danych utworzonej przez administratora rejestru umów w tym celu. Kontrakty administrator rejestru publikuje formie elektronicznej na portalu administracji publicznej.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(4) W przypadku, gdy umowy opublikowanej przez umowę rejestru, administrator rejestru potwierdza umowa wydawnicza potwierdzający, że wysyła dane do schowka, z którego jego kontrakt został wysłany do publikacji za pośrednictwem umów rejestru; wysyłając potwierdzenie zwykle odbywa się automatycznie. Zamówienia rejestru menedżer w świadectwie metadanych umowy zgodnie z pkt 5 i potwierdzić bezpieczny sposób zapewniający integralność lub pochodzenie danych.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(5) kontrakt, który nie został opublikowany w sposób określony w pkt 1, lub których metadane zawierają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określenie stron umowy,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b) definicja umowy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c) cenę, a jeśli nie ma umowy, wartość umowy nie może być ustalona,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d) datę zawarcia umowy,</w:t>
      </w:r>
    </w:p>
    <w:p w:rsidR="00001166" w:rsidRPr="00001166" w:rsidRDefault="00001166" w:rsidP="00001166">
      <w:pPr>
        <w:shd w:val="clear" w:color="auto" w:fill="FAFAFA"/>
        <w:spacing w:after="100" w:line="240" w:lineRule="auto"/>
        <w:ind w:firstLine="4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To nie jest uważane za publikowane przez umowach rejestru.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(6) W przypadku wydania przez umowach rejestru mogą być wyłączone metadane, o których mowa w paragrafie 5 pkt. a) lub c) jeżeli tajemnice handlowe metadanych osoby, o których mowa w § 2 ust. 1 punkt. e), K), L) i N), a także, jeżeli to było tajemnicą handlową, a tym samym bardziej opublikowane dane w tym samym czasie.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(7) Osoba, o której mowa w § 2 ust 1 lub ze stron Umowy może zostać opublikowany kontrakt metadanych lub kontrakty po naprawie ich publikacji.; Postępować według paragrafów 2-4 w podobny sposób. Wstępna umowa lub metadane pozostają w rejestrze prowadzonym umów.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(8) W przypadku, powinny być wyłączone z publikacji wykluczone procedury informowania zgodnie z § 3 ust. 1 lub § 5 ust. 6, musi być w obrazie elektronicznym zawartości tekstowej zamówienia wysłanego do umów administrator rejestru takich informacji zdarty ten, który wysłał umowy do publikacji przez zamówienia rejestru.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6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konsekwencje publikacja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Zamówienie jest objęte obowiązkiem publikowania przez umowy rejestru obowiązywać wcześniej niż w dniu publikacji.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Niezależnie od publikacji przez umowy rejestru staje się skuteczne Traktatu, która została zawarta w celu zapobieżenia lub ograniczenia szkód zagrożona bezpośrednio w związku z nagłych zagrażających życiu, zdrowia, mienia lub środowiska.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§7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Rezygnacja z zamówienia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Jeżeli umowa która wchodzi w życie wcześniej niż w dniu publikacji, wydanej przez Rejestr umów lub w terminie trzech miesięcy od dnia, w którym została zrealizowana, to jest czyszczony od początku.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Ustęp 1 nie stosuje się, jeżeli nie za pośrednictwem umów rejestru opublikowanych tylko część zamówienia lub został nieprawidłowo wyłączony z metadanymi publikacji w celu ochrony tajemnicy handlowej procedurę zgodnie z § 5 ust. 6,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przeprowadzić, jeżeli osoba, o której mowa w § 2 ust. 1, lub jakiejkolwiek innej partii naprawy zgodnie z § 5 ust. 7, który zostanie osiągnięty poprzez publikację w harmonii z tym prawem, w terminie 30 dni od dnia dowiedziała się, że publikacja nie w zgodzie z tym prawem, gdyby był jeszcze w dobrej wierze, że publikacja jest zgodny z przepisami niniejszej ustawy, lub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b) publikuje, jeżeli osoba, o której mowa w § 2 ust. 1 lub jakakolwiek inna strona opublikowany części zamówienia lub danej metadanych za pośrednictwem umów rejestru jako korektę zgodnie z § 5 ust. 7-30 dni od dnia jego doręczenia decyzji przełożonego organu lub sądu, na podstawie której będzie niepublikowany częścią danej umowy lub metadanych dostarczonych na podstawie przepisów regulujących swobodny dostęp do informacji.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(3) Inne niż metadanych zgodnie z pkt 2, mogą być poprawione tylko w ciągu trzech miesięcy od dnia, w którym umowa została zawarta, do których ma zastosowanie metadanych; Nie stosuje się w celu skorygowania błędów w formie pisemnej lub liczb.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8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Przepisy ogólne i przejściowe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(1) Niniejsza ustawa ma zastosowanie niezależnie od prawa, które ma zastosowanie w prawie prywatnym międzynarodowym prawie umów dotyczy.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(2) Zamówienie jest objęte obowiązkiem publikowania rejestr umów musi być w formie pisemnej.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(3) Jeżeli umowa jest objęta obowiązkiem publikowania przez umowach rejestru zaciągniętych przed dniem wejścia w życie niniejszej ustawy a wejściem w życie niniejszej ustawy, umowę, w której taka umowa, zmieniającym się, wymiany lub wycofania publikowania przez umowy rejestru wraz z niniejszą umową i danej umowy.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(4) Jeżeli zgodnie z przepisami niniejszej ustawy opublikowany umowy mają zostać opublikowane w ustawie o zamówieniach publicznych jest zatem spełniony obowiązek jej ujawnienia zgodnie z ustawą o zamówieniach publicznych; odnosi się to również do danych opublikowanych jako metadane na podstawie niniejszej ustawy.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lastRenderedPageBreak/>
        <w:t>(5) Jeżeli, zgodnie z przepisami niniejszej ustawy opublikowany umowy przekazywanych przez jakiegokolwiek innego prawa lub z niego informacji przekazywanych przez inne prawa, to tym samym spełniony obowiązek ich publikacji lub informacji od niego takiego innego prawa; odnosi się to również do danych opublikowanych jako metadane na podstawie niniejszej ustawy. Do celów pierwszego zdania jest inny środek law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a) ustawy o zasadach budżetowych budżetów terytorialnych, w przypadku umowy, która ma zostać opublikowana przez § 10d,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b) ustawy o wspieraniu badań, rozwoju i innowacji eksperymentalnych, czy jest to umowa o których informacje powinny być publicznie dostępne za pośrednictwem badań, rozwoju i innowacji;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c) Ustawa koncesyjna, czy jest to umowa, w którym informacje te powinny być publicznie dostępne poprzez rejestr umów koncesyjnych</w:t>
      </w:r>
    </w:p>
    <w:p w:rsidR="00001166" w:rsidRPr="00001166" w:rsidRDefault="00001166" w:rsidP="00001166">
      <w:pPr>
        <w:shd w:val="clear" w:color="auto" w:fill="FAFAFA"/>
        <w:spacing w:after="0" w:line="240" w:lineRule="auto"/>
        <w:ind w:hanging="3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 xml:space="preserve">d) ustawy Targowanie </w:t>
      </w:r>
      <w:proofErr w:type="spellStart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Collective</w:t>
      </w:r>
      <w:proofErr w:type="spellEnd"/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, jeśli jest wyższy poziom układy zbiorowe mają być udostępnione przez Ministerstwo Pracy i Spraw Socjalnych na swojej stronie internetowej; obowiązek zawiadomić nałożenie takiej umowy w Dzienniku Urzędowym nienaruszone.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(6) Wykonywanie obowiązków wynikających z niniejszej ustawy nie podlega nadzorowi lub kontroli sprawowanej przez przepisami dotyczącymi samorządu terytorialnego.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§9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przepisy końcowe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6 i 7 stosuje się po raz pierwszy, umowa zawarta w dniu 1 lipca 2017.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§ 10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skuteczność</w:t>
      </w:r>
    </w:p>
    <w:p w:rsidR="00001166" w:rsidRPr="00001166" w:rsidRDefault="00001166" w:rsidP="00001166">
      <w:pPr>
        <w:shd w:val="clear" w:color="auto" w:fill="FAFAFA"/>
        <w:spacing w:line="240" w:lineRule="auto"/>
        <w:ind w:firstLine="600"/>
        <w:jc w:val="both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Ustawa wchodzi w życie z dniem 1 lipca 2016 roku, z wyjątkiem § 6 i 7, które wchodzą w życie z dniem 1 lipca 2017 r.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proofErr w:type="spellStart"/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Hamáček</w:t>
      </w:r>
      <w:proofErr w:type="spellEnd"/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 xml:space="preserve"> VR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Zeman</w:t>
      </w:r>
    </w:p>
    <w:p w:rsidR="00001166" w:rsidRPr="00001166" w:rsidRDefault="00001166" w:rsidP="00001166">
      <w:pPr>
        <w:shd w:val="clear" w:color="auto" w:fill="FAFAFA"/>
        <w:spacing w:line="240" w:lineRule="auto"/>
        <w:jc w:val="center"/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Sobotka</w:t>
      </w:r>
    </w:p>
    <w:p w:rsidR="00001166" w:rsidRPr="00001166" w:rsidRDefault="00001166" w:rsidP="00001166">
      <w:pPr>
        <w:shd w:val="clear" w:color="auto" w:fill="FAFAFA"/>
        <w:spacing w:after="0" w:line="0" w:lineRule="auto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</w:t>
      </w:r>
    </w:p>
    <w:p w:rsidR="00001166" w:rsidRPr="00001166" w:rsidRDefault="00001166" w:rsidP="00001166">
      <w:pPr>
        <w:shd w:val="clear" w:color="auto" w:fill="FAFAFA"/>
        <w:spacing w:after="0" w:line="600" w:lineRule="atLeast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1-10</w:t>
      </w: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z </w:t>
      </w: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10</w:t>
      </w: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Wyniki na stronie:   </w:t>
      </w:r>
      <w:r w:rsidRPr="00001166">
        <w:rPr>
          <w:rFonts w:ascii="Arial CE" w:eastAsia="Times New Roman" w:hAnsi="Arial CE" w:cs="Arial CE"/>
          <w:b/>
          <w:bCs/>
          <w:color w:val="1E2D3C"/>
          <w:sz w:val="18"/>
          <w:szCs w:val="18"/>
          <w:lang w:eastAsia="pl-PL"/>
        </w:rPr>
        <w:t>15 linii na stronie (wybrane)</w:t>
      </w: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 </w:t>
      </w:r>
      <w:hyperlink r:id="rId7" w:anchor="local-content" w:history="1">
        <w:r w:rsidRPr="00001166">
          <w:rPr>
            <w:rFonts w:ascii="Arial CE" w:eastAsia="Times New Roman" w:hAnsi="Arial CE" w:cs="Arial CE"/>
            <w:color w:val="0064FF"/>
            <w:sz w:val="18"/>
            <w:szCs w:val="18"/>
            <w:u w:val="single"/>
            <w:lang w:eastAsia="pl-PL"/>
          </w:rPr>
          <w:t>50 linii na stronie</w:t>
        </w:r>
      </w:hyperlink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 </w:t>
      </w:r>
      <w:hyperlink r:id="rId8" w:anchor="local-content" w:history="1">
        <w:r w:rsidRPr="00001166">
          <w:rPr>
            <w:rFonts w:ascii="Arial CE" w:eastAsia="Times New Roman" w:hAnsi="Arial CE" w:cs="Arial CE"/>
            <w:color w:val="0064FF"/>
            <w:sz w:val="18"/>
            <w:szCs w:val="18"/>
            <w:u w:val="single"/>
            <w:lang w:eastAsia="pl-PL"/>
          </w:rPr>
          <w:t>100linii na stronie</w:t>
        </w:r>
      </w:hyperlink>
    </w:p>
    <w:p w:rsidR="00001166" w:rsidRPr="00001166" w:rsidRDefault="00001166" w:rsidP="00001166">
      <w:pPr>
        <w:shd w:val="clear" w:color="auto" w:fill="FAFAFA"/>
        <w:spacing w:after="150" w:line="600" w:lineRule="atLeast"/>
        <w:rPr>
          <w:rFonts w:ascii="Arial CE" w:eastAsia="Times New Roman" w:hAnsi="Arial CE" w:cs="Arial CE"/>
          <w:color w:val="1E2D3C"/>
          <w:sz w:val="2"/>
          <w:szCs w:val="2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2"/>
          <w:szCs w:val="2"/>
          <w:lang w:eastAsia="pl-PL"/>
        </w:rPr>
        <w:t> </w:t>
      </w:r>
    </w:p>
    <w:p w:rsidR="00001166" w:rsidRPr="00001166" w:rsidRDefault="00001166" w:rsidP="00001166">
      <w:pPr>
        <w:shd w:val="clear" w:color="auto" w:fill="FAFAFA"/>
        <w:spacing w:after="0" w:line="240" w:lineRule="auto"/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</w:pPr>
      <w:r w:rsidRPr="00001166">
        <w:rPr>
          <w:rFonts w:ascii="Arial CE" w:eastAsia="Times New Roman" w:hAnsi="Arial CE" w:cs="Arial CE"/>
          <w:color w:val="1E2D3C"/>
          <w:sz w:val="18"/>
          <w:szCs w:val="18"/>
          <w:lang w:eastAsia="pl-PL"/>
        </w:rPr>
        <w:t> </w:t>
      </w:r>
    </w:p>
    <w:p w:rsidR="00001166" w:rsidRPr="00001166" w:rsidRDefault="00001166" w:rsidP="00001166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b/>
          <w:bCs/>
          <w:color w:val="647382"/>
          <w:sz w:val="25"/>
          <w:szCs w:val="25"/>
          <w:lang w:eastAsia="pl-PL"/>
        </w:rPr>
      </w:pPr>
      <w:r w:rsidRPr="00001166">
        <w:rPr>
          <w:rFonts w:ascii="Arial CE" w:eastAsia="Times New Roman" w:hAnsi="Arial CE" w:cs="Arial CE"/>
          <w:b/>
          <w:bCs/>
          <w:color w:val="647382"/>
          <w:sz w:val="25"/>
          <w:szCs w:val="25"/>
          <w:lang w:eastAsia="pl-PL"/>
        </w:rPr>
        <w:t>stopka</w:t>
      </w:r>
    </w:p>
    <w:p w:rsidR="00001166" w:rsidRPr="00001166" w:rsidRDefault="00001166" w:rsidP="00001166">
      <w:pPr>
        <w:spacing w:line="240" w:lineRule="auto"/>
        <w:rPr>
          <w:rFonts w:ascii="Arial CE" w:eastAsia="Times New Roman" w:hAnsi="Arial CE" w:cs="Arial CE"/>
          <w:color w:val="647382"/>
          <w:sz w:val="18"/>
          <w:szCs w:val="18"/>
          <w:lang w:eastAsia="pl-PL"/>
        </w:rPr>
      </w:pPr>
      <w:hyperlink r:id="rId9" w:history="1">
        <w:r w:rsidRPr="00001166">
          <w:rPr>
            <w:rFonts w:ascii="Arial CE" w:eastAsia="Times New Roman" w:hAnsi="Arial CE" w:cs="Arial CE"/>
            <w:color w:val="0064FF"/>
            <w:sz w:val="18"/>
            <w:szCs w:val="18"/>
            <w:lang w:eastAsia="pl-PL"/>
          </w:rPr>
          <w:t>Mapa strony </w:t>
        </w:r>
      </w:hyperlink>
      <w:hyperlink r:id="rId10" w:history="1">
        <w:r w:rsidRPr="00001166">
          <w:rPr>
            <w:rFonts w:ascii="Arial CE" w:eastAsia="Times New Roman" w:hAnsi="Arial CE" w:cs="Arial CE"/>
            <w:color w:val="0064FF"/>
            <w:sz w:val="18"/>
            <w:szCs w:val="18"/>
            <w:lang w:eastAsia="pl-PL"/>
          </w:rPr>
          <w:t>Oświadczenie o dostępności</w:t>
        </w:r>
      </w:hyperlink>
      <w:r w:rsidRPr="00001166">
        <w:rPr>
          <w:rFonts w:ascii="Arial CE" w:eastAsia="Times New Roman" w:hAnsi="Arial CE" w:cs="Arial CE"/>
          <w:color w:val="647382"/>
          <w:sz w:val="18"/>
          <w:szCs w:val="18"/>
          <w:lang w:eastAsia="pl-PL"/>
        </w:rPr>
        <w:t>2017 © Ministerstwo Spraw Wewnętrznych • Informacje dostarczone zgodnie z ustawą nr. 106/1999 Sb., W sprawie swobodnego dostępu do informacji.</w:t>
      </w:r>
    </w:p>
    <w:p w:rsidR="00270EF3" w:rsidRDefault="00001166"/>
    <w:sectPr w:rsidR="00270E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66" w:rsidRDefault="00001166" w:rsidP="00001166">
      <w:pPr>
        <w:spacing w:after="0" w:line="240" w:lineRule="auto"/>
      </w:pPr>
      <w:r>
        <w:separator/>
      </w:r>
    </w:p>
  </w:endnote>
  <w:endnote w:type="continuationSeparator" w:id="0">
    <w:p w:rsidR="00001166" w:rsidRDefault="00001166" w:rsidP="0000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66" w:rsidRPr="00001166" w:rsidRDefault="00001166" w:rsidP="00001166">
    <w:pPr>
      <w:pStyle w:val="Stopka"/>
      <w:jc w:val="center"/>
      <w:rPr>
        <w:b/>
      </w:rPr>
    </w:pPr>
    <w:r w:rsidRPr="00001166">
      <w:rPr>
        <w:b/>
      </w:rPr>
      <w:t>Tłumaczenie przez gogle. TO NIE JEST OFICJALNE TŁUMACZENIE USTAWY</w:t>
    </w:r>
  </w:p>
  <w:p w:rsidR="00001166" w:rsidRDefault="0000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66" w:rsidRDefault="00001166" w:rsidP="00001166">
      <w:pPr>
        <w:spacing w:after="0" w:line="240" w:lineRule="auto"/>
      </w:pPr>
      <w:r>
        <w:separator/>
      </w:r>
    </w:p>
  </w:footnote>
  <w:footnote w:type="continuationSeparator" w:id="0">
    <w:p w:rsidR="00001166" w:rsidRDefault="00001166" w:rsidP="0000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2DC6"/>
    <w:multiLevelType w:val="multilevel"/>
    <w:tmpl w:val="A41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93F5C"/>
    <w:multiLevelType w:val="multilevel"/>
    <w:tmpl w:val="F66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74FE9"/>
    <w:multiLevelType w:val="multilevel"/>
    <w:tmpl w:val="A4A603C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D"/>
    <w:rsid w:val="00001166"/>
    <w:rsid w:val="00612373"/>
    <w:rsid w:val="008A305A"/>
    <w:rsid w:val="00A3575B"/>
    <w:rsid w:val="00A56337"/>
    <w:rsid w:val="00E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A322"/>
  <w15:chartTrackingRefBased/>
  <w15:docId w15:val="{CD88763F-2390-4F3E-A166-7B09CF7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ral">
    <w:name w:val="aural"/>
    <w:basedOn w:val="Normalny"/>
    <w:rsid w:val="000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1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01166"/>
  </w:style>
  <w:style w:type="character" w:styleId="Pogrubienie">
    <w:name w:val="Strong"/>
    <w:basedOn w:val="Domylnaczcionkaakapitu"/>
    <w:uiPriority w:val="22"/>
    <w:qFormat/>
    <w:rsid w:val="00001166"/>
    <w:rPr>
      <w:b/>
      <w:bCs/>
    </w:rPr>
  </w:style>
  <w:style w:type="character" w:customStyle="1" w:styleId="flag">
    <w:name w:val="flag"/>
    <w:basedOn w:val="Domylnaczcionkaakapitu"/>
    <w:rsid w:val="00001166"/>
  </w:style>
  <w:style w:type="character" w:customStyle="1" w:styleId="right">
    <w:name w:val="right"/>
    <w:basedOn w:val="Domylnaczcionkaakapitu"/>
    <w:rsid w:val="00001166"/>
  </w:style>
  <w:style w:type="character" w:customStyle="1" w:styleId="aural1">
    <w:name w:val="aural1"/>
    <w:basedOn w:val="Domylnaczcionkaakapitu"/>
    <w:rsid w:val="0000116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1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11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r">
    <w:name w:val="nr"/>
    <w:basedOn w:val="Domylnaczcionkaakapitu"/>
    <w:rsid w:val="00001166"/>
  </w:style>
  <w:style w:type="character" w:customStyle="1" w:styleId="part">
    <w:name w:val="part"/>
    <w:basedOn w:val="Domylnaczcionkaakapitu"/>
    <w:rsid w:val="00001166"/>
  </w:style>
  <w:style w:type="character" w:customStyle="1" w:styleId="name">
    <w:name w:val="name"/>
    <w:basedOn w:val="Domylnaczcionkaakapitu"/>
    <w:rsid w:val="00001166"/>
  </w:style>
  <w:style w:type="paragraph" w:customStyle="1" w:styleId="submit">
    <w:name w:val="submit"/>
    <w:basedOn w:val="Normalny"/>
    <w:rsid w:val="000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1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11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agenr">
    <w:name w:val="pagenr"/>
    <w:basedOn w:val="Domylnaczcionkaakapitu"/>
    <w:rsid w:val="00001166"/>
  </w:style>
  <w:style w:type="character" w:customStyle="1" w:styleId="resultnr">
    <w:name w:val="resultnr"/>
    <w:basedOn w:val="Domylnaczcionkaakapitu"/>
    <w:rsid w:val="00001166"/>
  </w:style>
  <w:style w:type="paragraph" w:styleId="Nagwek">
    <w:name w:val="header"/>
    <w:basedOn w:val="Normalny"/>
    <w:link w:val="NagwekZnak"/>
    <w:uiPriority w:val="99"/>
    <w:unhideWhenUsed/>
    <w:rsid w:val="0000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166"/>
  </w:style>
  <w:style w:type="paragraph" w:styleId="Stopka">
    <w:name w:val="footer"/>
    <w:basedOn w:val="Normalny"/>
    <w:link w:val="StopkaZnak"/>
    <w:uiPriority w:val="99"/>
    <w:unhideWhenUsed/>
    <w:rsid w:val="0000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single" w:sz="6" w:space="0" w:color="E8E8E8"/>
          </w:divBdr>
          <w:divsChild>
            <w:div w:id="10288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6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3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839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467">
                      <w:marLeft w:val="675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3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4BABC"/>
                            <w:left w:val="single" w:sz="2" w:space="0" w:color="B4BABC"/>
                            <w:bottom w:val="single" w:sz="6" w:space="0" w:color="B4BABC"/>
                            <w:right w:val="single" w:sz="2" w:space="0" w:color="B4BABC"/>
                          </w:divBdr>
                          <w:divsChild>
                            <w:div w:id="12274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7941">
                              <w:marLeft w:val="0"/>
                              <w:marRight w:val="0"/>
                              <w:marTop w:val="0"/>
                              <w:marBottom w:val="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4914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548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48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9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576636">
                              <w:marLeft w:val="0"/>
                              <w:marRight w:val="0"/>
                              <w:marTop w:val="2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8469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0933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25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04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58031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1858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00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274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9771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41469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755973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9516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25869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1280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47526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3077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731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5647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911557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725733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5941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603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9358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4216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3497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23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89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032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89907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99474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54459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18573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6265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2894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5189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78721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76495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23469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65359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13693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526751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579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97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16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886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3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92519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3451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4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04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416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74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353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388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5020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34824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045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6446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6755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2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177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30973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707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24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11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00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73408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169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11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76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510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32113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8535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650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330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8758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72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4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3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54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79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128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6197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5894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571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3103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5454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12711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142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59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704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658784">
                              <w:marLeft w:val="0"/>
                              <w:marRight w:val="0"/>
                              <w:marTop w:val="440"/>
                              <w:marBottom w:val="7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8234">
                                  <w:marLeft w:val="0"/>
                                  <w:marRight w:val="0"/>
                                  <w:marTop w:val="4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399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395">
                                  <w:marLeft w:val="0"/>
                                  <w:marRight w:val="0"/>
                                  <w:marTop w:val="14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885191">
                              <w:marLeft w:val="0"/>
                              <w:marRight w:val="0"/>
                              <w:marTop w:val="740"/>
                              <w:marBottom w:val="10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63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625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5200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0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1026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442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68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4BABC"/>
                            <w:left w:val="single" w:sz="2" w:space="0" w:color="B4BABC"/>
                            <w:bottom w:val="single" w:sz="6" w:space="0" w:color="B4BABC"/>
                            <w:right w:val="single" w:sz="2" w:space="0" w:color="B4BABC"/>
                          </w:divBdr>
                          <w:divsChild>
                            <w:div w:id="17663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18735">
                      <w:marLeft w:val="0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29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app/zakony/zakonPar.jsp?page=0&amp;idBiblio=85204&amp;nr=340~2F2015&amp;rpp=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gov.cz/app/zakony/zakonPar.jsp?page=0&amp;idBiblio=85204&amp;nr=340~2F2015&amp;rpp=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al.gov.cz/portal/obcan/pristup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ov.cz/portal/obcan/map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1829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2</cp:revision>
  <dcterms:created xsi:type="dcterms:W3CDTF">2017-06-27T03:42:00Z</dcterms:created>
  <dcterms:modified xsi:type="dcterms:W3CDTF">2017-06-27T03:44:00Z</dcterms:modified>
</cp:coreProperties>
</file>